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77BAC" w14:textId="77777777" w:rsidR="001B5FDF" w:rsidRPr="00230D6C" w:rsidRDefault="001B5FDF" w:rsidP="001B5FDF">
      <w:pPr>
        <w:spacing w:before="120"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30D6C">
        <w:rPr>
          <w:rFonts w:ascii="Times New Roman" w:hAnsi="Times New Roman" w:cs="Times New Roman"/>
          <w:b/>
          <w:bCs/>
          <w:sz w:val="44"/>
          <w:szCs w:val="44"/>
        </w:rPr>
        <w:t>PR Campania FESR 2021-2027</w:t>
      </w:r>
    </w:p>
    <w:p w14:paraId="10003B2C" w14:textId="77777777" w:rsidR="001B5FDF" w:rsidRPr="00230D6C" w:rsidRDefault="001B5FDF" w:rsidP="001B5FDF">
      <w:pPr>
        <w:jc w:val="center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</w:rPr>
        <w:t>Obiettivo specifico: RSO4.3. Promuovere l'inclusione socioeconomica delle comunità emarginate, delle famiglie a basso reddito e dei gruppi svantaggiati, incluse le persone con bisogni speciali, mediante azioni integrate riguardanti alloggi e servizi sociali</w:t>
      </w:r>
    </w:p>
    <w:p w14:paraId="73EAB79C" w14:textId="77777777" w:rsidR="001B5FDF" w:rsidRPr="00230D6C" w:rsidRDefault="001B5FDF" w:rsidP="001B5FDF">
      <w:pPr>
        <w:jc w:val="center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</w:rPr>
        <w:t>Azione 4.3.2 Rafforzare la coesione sociale e la legalità attraverso il recupero, riuso e rifunzionalizzazione di beni confiscati alle mafie</w:t>
      </w:r>
    </w:p>
    <w:p w14:paraId="0E92D775" w14:textId="77777777" w:rsidR="001B5FDF" w:rsidRPr="00230D6C" w:rsidRDefault="001B5FDF" w:rsidP="001B5FDF">
      <w:pPr>
        <w:jc w:val="center"/>
        <w:rPr>
          <w:rFonts w:ascii="Times New Roman" w:hAnsi="Times New Roman" w:cs="Times New Roman"/>
        </w:rPr>
      </w:pPr>
    </w:p>
    <w:p w14:paraId="326059AE" w14:textId="77777777" w:rsidR="001B5FDF" w:rsidRPr="00230D6C" w:rsidRDefault="001B5FDF" w:rsidP="001B5FDF">
      <w:pPr>
        <w:spacing w:before="120"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30D6C">
        <w:rPr>
          <w:rFonts w:ascii="Times New Roman" w:hAnsi="Times New Roman" w:cs="Times New Roman"/>
          <w:b/>
          <w:bCs/>
          <w:sz w:val="44"/>
          <w:szCs w:val="44"/>
        </w:rPr>
        <w:t>PR Campania FSE+ 2021-2027</w:t>
      </w:r>
    </w:p>
    <w:p w14:paraId="355D2833" w14:textId="77777777" w:rsidR="001B5FDF" w:rsidRPr="00230D6C" w:rsidRDefault="001B5FDF" w:rsidP="001B5F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  <w:b/>
          <w:bCs/>
        </w:rPr>
        <w:t>Priorità 5</w:t>
      </w:r>
      <w:r w:rsidRPr="00230D6C">
        <w:rPr>
          <w:rFonts w:ascii="Times New Roman" w:hAnsi="Times New Roman" w:cs="Times New Roman"/>
        </w:rPr>
        <w:t xml:space="preserve">. </w:t>
      </w:r>
      <w:r w:rsidRPr="00230D6C">
        <w:rPr>
          <w:rFonts w:ascii="Times New Roman" w:hAnsi="Times New Roman" w:cs="Times New Roman"/>
          <w:b/>
          <w:bCs/>
        </w:rPr>
        <w:t>Azioni Sociali Innovative</w:t>
      </w:r>
    </w:p>
    <w:p w14:paraId="51DC0B03" w14:textId="77777777" w:rsidR="001B5FDF" w:rsidRPr="00230D6C" w:rsidRDefault="001B5FDF" w:rsidP="001B5F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  <w:b/>
          <w:bCs/>
        </w:rPr>
        <w:t>Obiettivo Specifico ESO4.1</w:t>
      </w:r>
      <w:r w:rsidRPr="00230D6C">
        <w:rPr>
          <w:rFonts w:ascii="Times New Roman" w:hAnsi="Times New Roman" w:cs="Times New Roman"/>
        </w:rPr>
        <w:t>. Migliorare l'accesso all'occupazione e le misure di attivazione per tutte le persone in cerca di lavoro, in particolare i giovani, soprattutto attraverso l'attuazione della garanzia per i giovani, i disoccupati di lungo periodo e i gruppi svantaggiati nel mercato del lavoro, nonché delle persone inattive, anche mediante la promozione del lavoro autonomo e dell'economia sociale</w:t>
      </w:r>
    </w:p>
    <w:p w14:paraId="019F4DCE" w14:textId="77777777" w:rsidR="001B5FDF" w:rsidRPr="00230D6C" w:rsidRDefault="001B5FDF" w:rsidP="001B5F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77897E6" w14:textId="77777777" w:rsidR="001B5FDF" w:rsidRPr="00230D6C" w:rsidRDefault="001B5FDF" w:rsidP="001B5F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  <w:b/>
          <w:bCs/>
        </w:rPr>
        <w:t>Azione: 5.a.3</w:t>
      </w:r>
      <w:r w:rsidRPr="00230D6C">
        <w:rPr>
          <w:rFonts w:ascii="Times New Roman" w:hAnsi="Times New Roman" w:cs="Times New Roman"/>
        </w:rPr>
        <w:t xml:space="preserve"> - Migliorare l'occupabilità, in particolare dei gruppi svantaggiati attraverso: la reazione di nuove collaborazioni sociali tra pubblico, società civile e organizzazioni del terzo settore per la gestione dei beni confiscati alle mafie; la promozione della nascita di nuove imprese sociali collegate al riutilizzo dei beni confiscati; l’erogazione di servizi di accompagnamento e rafforzamento delle competenze a supporto della progettazione, della realizzazione e della gestione manageriale per la creazione di impresa nei beni confiscati; le attività di sensibilizzazione e cooperazione istituzionale per migliorare la capacità delle Amministrazioni Pubbliche di generare modelli di intervento di gestione efficace del bene confiscato, in funzione complementare.</w:t>
      </w:r>
    </w:p>
    <w:p w14:paraId="48683802" w14:textId="77777777" w:rsidR="001B5FDF" w:rsidRPr="00230D6C" w:rsidRDefault="001B5FDF" w:rsidP="001B5FDF">
      <w:pPr>
        <w:spacing w:before="120" w:after="120"/>
        <w:rPr>
          <w:rFonts w:ascii="Times New Roman" w:hAnsi="Times New Roman" w:cs="Times New Roman"/>
        </w:rPr>
      </w:pPr>
    </w:p>
    <w:p w14:paraId="613987C8" w14:textId="1462CAB9" w:rsidR="001B5FDF" w:rsidRPr="00230D6C" w:rsidRDefault="001B5FDF" w:rsidP="001B5FDF">
      <w:pPr>
        <w:jc w:val="center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</w:rPr>
        <w:t>D</w:t>
      </w:r>
      <w:r w:rsidRPr="00230D6C">
        <w:rPr>
          <w:rFonts w:ascii="Times New Roman" w:hAnsi="Times New Roman" w:cs="Times New Roman"/>
        </w:rPr>
        <w:t>.G.R.</w:t>
      </w:r>
      <w:r w:rsidRPr="00230D6C">
        <w:rPr>
          <w:rFonts w:ascii="Times New Roman" w:hAnsi="Times New Roman" w:cs="Times New Roman"/>
        </w:rPr>
        <w:t xml:space="preserve"> n. 635 del 07/11/2023 “Programmazione di iniziative sui beni confiscati a valere su risorse del PR FESR 2021/2027 e del PR FSE+ 2021/2027</w:t>
      </w:r>
    </w:p>
    <w:p w14:paraId="771AE270" w14:textId="77777777" w:rsidR="001B5FDF" w:rsidRPr="00230D6C" w:rsidRDefault="001B5FDF" w:rsidP="001B5FDF">
      <w:pPr>
        <w:spacing w:before="120" w:after="120"/>
        <w:rPr>
          <w:rFonts w:ascii="Times New Roman" w:hAnsi="Times New Roman" w:cs="Times New Roman"/>
        </w:rPr>
      </w:pPr>
    </w:p>
    <w:p w14:paraId="5D6DDA46" w14:textId="77777777" w:rsidR="001B5FDF" w:rsidRPr="00230D6C" w:rsidRDefault="001B5FDF" w:rsidP="001B5FDF">
      <w:pPr>
        <w:spacing w:before="120" w:after="120"/>
        <w:rPr>
          <w:rFonts w:ascii="Times New Roman" w:hAnsi="Times New Roman" w:cs="Times New Roman"/>
        </w:rPr>
      </w:pPr>
    </w:p>
    <w:p w14:paraId="3448D62E" w14:textId="5A5B855F" w:rsidR="00B41535" w:rsidRPr="00230D6C" w:rsidRDefault="001B5FDF" w:rsidP="001B5FDF">
      <w:pPr>
        <w:jc w:val="center"/>
        <w:rPr>
          <w:rFonts w:ascii="Times New Roman" w:hAnsi="Times New Roman" w:cs="Times New Roman"/>
          <w:b/>
          <w:bCs/>
        </w:rPr>
      </w:pPr>
      <w:r w:rsidRPr="00230D6C">
        <w:rPr>
          <w:rFonts w:ascii="Times New Roman" w:hAnsi="Times New Roman" w:cs="Times New Roman"/>
          <w:b/>
          <w:bCs/>
        </w:rPr>
        <w:t>AVVISO PUBBLICO PER IL SUPPORTO ALLA GESTIONE E ALLA VALORIZZAZIONE DEI BENI CONFISCATI</w:t>
      </w:r>
    </w:p>
    <w:p w14:paraId="4FA1A328" w14:textId="77777777" w:rsidR="001B5FDF" w:rsidRPr="00230D6C" w:rsidRDefault="001B5FDF" w:rsidP="001B5FDF">
      <w:pPr>
        <w:jc w:val="center"/>
        <w:rPr>
          <w:rFonts w:ascii="Times New Roman" w:hAnsi="Times New Roman" w:cs="Times New Roman"/>
          <w:b/>
          <w:bCs/>
        </w:rPr>
      </w:pPr>
    </w:p>
    <w:p w14:paraId="5ADA9979" w14:textId="77777777" w:rsidR="001B5FDF" w:rsidRPr="00230D6C" w:rsidRDefault="001B5FDF" w:rsidP="001B5FDF">
      <w:pPr>
        <w:jc w:val="center"/>
        <w:rPr>
          <w:rFonts w:ascii="Times New Roman" w:hAnsi="Times New Roman" w:cs="Times New Roman"/>
        </w:rPr>
      </w:pPr>
    </w:p>
    <w:p w14:paraId="715F1016" w14:textId="77777777" w:rsidR="001B5FDF" w:rsidRPr="00230D6C" w:rsidRDefault="001B5FDF" w:rsidP="001B5FDF">
      <w:pPr>
        <w:jc w:val="center"/>
        <w:rPr>
          <w:rFonts w:ascii="Times New Roman" w:hAnsi="Times New Roman" w:cs="Times New Roman"/>
        </w:rPr>
      </w:pPr>
    </w:p>
    <w:p w14:paraId="35F89909" w14:textId="7E3C66FF" w:rsidR="001B5FDF" w:rsidRPr="00230D6C" w:rsidRDefault="001B5FDF" w:rsidP="001B5FDF">
      <w:pPr>
        <w:jc w:val="center"/>
        <w:rPr>
          <w:rFonts w:ascii="Times New Roman" w:hAnsi="Times New Roman" w:cs="Times New Roman"/>
          <w:b/>
          <w:bCs/>
        </w:rPr>
      </w:pPr>
      <w:r w:rsidRPr="00230D6C">
        <w:rPr>
          <w:rFonts w:ascii="Times New Roman" w:hAnsi="Times New Roman" w:cs="Times New Roman"/>
          <w:b/>
          <w:bCs/>
        </w:rPr>
        <w:t>ALLEGATO “Criteri di vaglio tecnico da adottare per il rispetto del principio DNSH”</w:t>
      </w:r>
    </w:p>
    <w:p w14:paraId="6E484849" w14:textId="77777777" w:rsidR="001B5FDF" w:rsidRPr="00230D6C" w:rsidRDefault="001B5FDF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230D6C">
        <w:rPr>
          <w:rFonts w:ascii="Times New Roman" w:hAnsi="Times New Roman" w:cs="Times New Roman"/>
          <w:b/>
          <w:bCs/>
        </w:rPr>
        <w:br w:type="page"/>
      </w:r>
    </w:p>
    <w:p w14:paraId="7EB1ADED" w14:textId="77777777" w:rsidR="002C22F2" w:rsidRDefault="002C22F2" w:rsidP="001B5FDF">
      <w:pPr>
        <w:spacing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C325A7D" w14:textId="4824AA86" w:rsidR="001B5FDF" w:rsidRPr="001B5FDF" w:rsidRDefault="001B5FDF" w:rsidP="002C22F2">
      <w:pPr>
        <w:spacing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5FDF">
        <w:rPr>
          <w:rFonts w:ascii="Times New Roman" w:hAnsi="Times New Roman" w:cs="Times New Roman"/>
          <w:sz w:val="22"/>
          <w:szCs w:val="22"/>
        </w:rPr>
        <w:t xml:space="preserve">Con riferimento a quanto indicato all’art. </w:t>
      </w:r>
      <w:r w:rsidR="00F50321" w:rsidRPr="00230D6C">
        <w:rPr>
          <w:rFonts w:ascii="Times New Roman" w:hAnsi="Times New Roman" w:cs="Times New Roman"/>
          <w:sz w:val="22"/>
          <w:szCs w:val="22"/>
        </w:rPr>
        <w:t>6</w:t>
      </w:r>
      <w:r w:rsidR="002C22F2">
        <w:rPr>
          <w:rFonts w:ascii="Times New Roman" w:hAnsi="Times New Roman" w:cs="Times New Roman"/>
          <w:sz w:val="22"/>
          <w:szCs w:val="22"/>
        </w:rPr>
        <w:t xml:space="preserve"> </w:t>
      </w:r>
      <w:r w:rsidRPr="001B5FDF">
        <w:rPr>
          <w:rFonts w:ascii="Times New Roman" w:hAnsi="Times New Roman" w:cs="Times New Roman"/>
          <w:sz w:val="22"/>
          <w:szCs w:val="22"/>
        </w:rPr>
        <w:t xml:space="preserve">dell’Avviso, il presente allegato intende fornire gli elementi necessari a garantire che </w:t>
      </w:r>
      <w:r w:rsidR="002C22F2" w:rsidRPr="002C22F2">
        <w:rPr>
          <w:rFonts w:ascii="Times New Roman" w:hAnsi="Times New Roman" w:cs="Times New Roman"/>
          <w:sz w:val="22"/>
          <w:szCs w:val="22"/>
        </w:rPr>
        <w:t xml:space="preserve">siano adottati i Criteri Ambientali Minimi obbligatori </w:t>
      </w:r>
      <w:r w:rsidR="002C22F2">
        <w:rPr>
          <w:rFonts w:ascii="Times New Roman" w:hAnsi="Times New Roman" w:cs="Times New Roman"/>
          <w:sz w:val="22"/>
          <w:szCs w:val="22"/>
        </w:rPr>
        <w:t xml:space="preserve">- </w:t>
      </w:r>
      <w:r w:rsidR="002C22F2" w:rsidRPr="002C22F2">
        <w:rPr>
          <w:rFonts w:ascii="Times New Roman" w:hAnsi="Times New Roman" w:cs="Times New Roman"/>
          <w:sz w:val="22"/>
          <w:szCs w:val="22"/>
        </w:rPr>
        <w:t>CAM</w:t>
      </w:r>
      <w:r w:rsidR="002C22F2">
        <w:rPr>
          <w:rFonts w:ascii="Times New Roman" w:hAnsi="Times New Roman" w:cs="Times New Roman"/>
          <w:sz w:val="22"/>
          <w:szCs w:val="22"/>
        </w:rPr>
        <w:t xml:space="preserve"> </w:t>
      </w:r>
      <w:r w:rsidR="002C22F2" w:rsidRPr="002C22F2">
        <w:rPr>
          <w:rFonts w:ascii="Times New Roman" w:hAnsi="Times New Roman" w:cs="Times New Roman"/>
          <w:sz w:val="22"/>
          <w:szCs w:val="22"/>
        </w:rPr>
        <w:t>(approvato con DM</w:t>
      </w:r>
      <w:r w:rsidR="002C22F2">
        <w:rPr>
          <w:rFonts w:ascii="Times New Roman" w:hAnsi="Times New Roman" w:cs="Times New Roman"/>
          <w:sz w:val="22"/>
          <w:szCs w:val="22"/>
        </w:rPr>
        <w:t xml:space="preserve"> </w:t>
      </w:r>
      <w:r w:rsidR="002C22F2" w:rsidRPr="002C22F2">
        <w:rPr>
          <w:rFonts w:ascii="Times New Roman" w:hAnsi="Times New Roman" w:cs="Times New Roman"/>
          <w:sz w:val="22"/>
          <w:szCs w:val="22"/>
        </w:rPr>
        <w:t>23 giugno 2022 n. 256, GURI n. 183 del 8 agosto 2022 - in vigore dal 4 dicembre 2022), ove pertinenti</w:t>
      </w:r>
      <w:r w:rsidR="002C22F2">
        <w:rPr>
          <w:rFonts w:ascii="Times New Roman" w:hAnsi="Times New Roman" w:cs="Times New Roman"/>
          <w:sz w:val="22"/>
          <w:szCs w:val="22"/>
        </w:rPr>
        <w:t>, e che i</w:t>
      </w:r>
      <w:r w:rsidRPr="001B5FDF">
        <w:rPr>
          <w:rFonts w:ascii="Times New Roman" w:hAnsi="Times New Roman" w:cs="Times New Roman"/>
          <w:sz w:val="22"/>
          <w:szCs w:val="22"/>
        </w:rPr>
        <w:t xml:space="preserve"> progetti proposti rispettino il principio di “non arrecare un danno significativo” (DNSH) secondo quanto previsto nell’articolo 9, comma 4 del Regolamento (UE)  2021/1060, e non arrechino danno significativo agli obiettivi ambientali individuati nell’articolo 9 del Regolamento UE n. 852/2020. Al riguardo si precisa che, ai sensi dell’art. 17 del Regolamento UE n. 852/2020, un'attività economica arreca un danno significativo:</w:t>
      </w:r>
      <w:r w:rsidR="002C22F2" w:rsidRPr="002C22F2">
        <w:t xml:space="preserve"> </w:t>
      </w:r>
    </w:p>
    <w:p w14:paraId="4A899567" w14:textId="0F3DC2B5" w:rsidR="0003782B" w:rsidRPr="00230D6C" w:rsidRDefault="0003782B" w:rsidP="0003782B">
      <w:pPr>
        <w:spacing w:after="160" w:line="259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30D6C">
        <w:rPr>
          <w:rFonts w:ascii="Times New Roman" w:hAnsi="Times New Roman" w:cs="Times New Roman"/>
          <w:i/>
          <w:iCs/>
          <w:sz w:val="22"/>
          <w:szCs w:val="22"/>
        </w:rPr>
        <w:t>1.</w:t>
      </w:r>
      <w:r w:rsidRPr="00230D6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230D6C">
        <w:rPr>
          <w:rFonts w:ascii="Times New Roman" w:hAnsi="Times New Roman" w:cs="Times New Roman"/>
          <w:i/>
          <w:iCs/>
          <w:sz w:val="22"/>
          <w:szCs w:val="22"/>
        </w:rPr>
        <w:t>alla mitigazione dei cambiamenti climatici, se porta a significative emissioni di gas serra (GHG);</w:t>
      </w:r>
    </w:p>
    <w:p w14:paraId="69D5C7AF" w14:textId="32AFFE6A" w:rsidR="0003782B" w:rsidRPr="00230D6C" w:rsidRDefault="0003782B" w:rsidP="0003782B">
      <w:pPr>
        <w:spacing w:after="160" w:line="259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30D6C">
        <w:rPr>
          <w:rFonts w:ascii="Times New Roman" w:hAnsi="Times New Roman" w:cs="Times New Roman"/>
          <w:i/>
          <w:iCs/>
          <w:sz w:val="22"/>
          <w:szCs w:val="22"/>
        </w:rPr>
        <w:t>2.</w:t>
      </w:r>
      <w:r w:rsidRPr="00230D6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230D6C">
        <w:rPr>
          <w:rFonts w:ascii="Times New Roman" w:hAnsi="Times New Roman" w:cs="Times New Roman"/>
          <w:i/>
          <w:iCs/>
          <w:sz w:val="22"/>
          <w:szCs w:val="22"/>
        </w:rPr>
        <w:t>all'adattamento ai cambiamenti climatici, se determina un maggiore impatto negativo del clima attuale e futuro, sull'attività stessa o sulle persone, sulla natura o sui beni;</w:t>
      </w:r>
    </w:p>
    <w:p w14:paraId="2CAB05BF" w14:textId="715B4DB7" w:rsidR="0003782B" w:rsidRPr="00230D6C" w:rsidRDefault="0003782B" w:rsidP="0003782B">
      <w:pPr>
        <w:spacing w:after="160" w:line="259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30D6C">
        <w:rPr>
          <w:rFonts w:ascii="Times New Roman" w:hAnsi="Times New Roman" w:cs="Times New Roman"/>
          <w:i/>
          <w:iCs/>
          <w:sz w:val="22"/>
          <w:szCs w:val="22"/>
        </w:rPr>
        <w:t>3.</w:t>
      </w:r>
      <w:r w:rsidRPr="00230D6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230D6C">
        <w:rPr>
          <w:rFonts w:ascii="Times New Roman" w:hAnsi="Times New Roman" w:cs="Times New Roman"/>
          <w:i/>
          <w:iCs/>
          <w:sz w:val="22"/>
          <w:szCs w:val="22"/>
        </w:rPr>
        <w:t>all'uso sostenibile o alla protezione delle risorse idriche e marine, se è dannosa per il buono stato dei corpi idrici (superficiali, sotterranei o marini) determinandone il loro deterioramento qualitativo o la riduzione del potenziale ecologico;</w:t>
      </w:r>
    </w:p>
    <w:p w14:paraId="312B63B5" w14:textId="505BEAE1" w:rsidR="0003782B" w:rsidRPr="00230D6C" w:rsidRDefault="0003782B" w:rsidP="0003782B">
      <w:pPr>
        <w:spacing w:after="160" w:line="259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30D6C">
        <w:rPr>
          <w:rFonts w:ascii="Times New Roman" w:hAnsi="Times New Roman" w:cs="Times New Roman"/>
          <w:i/>
          <w:iCs/>
          <w:sz w:val="22"/>
          <w:szCs w:val="22"/>
        </w:rPr>
        <w:t>4.</w:t>
      </w:r>
      <w:r w:rsidRPr="00230D6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230D6C">
        <w:rPr>
          <w:rFonts w:ascii="Times New Roman" w:hAnsi="Times New Roman" w:cs="Times New Roman"/>
          <w:i/>
          <w:iCs/>
          <w:sz w:val="22"/>
          <w:szCs w:val="22"/>
        </w:rPr>
        <w:t>all'economia circolare, inclusa la prevenzione, il riutilizzo ed il riciclaggio dei rifiuti, se porta a significative inefficienze nell'utilizzo di materiali recuperati o riciclati, ad incrementi nell'uso diretto o indiretto di risorse naturali, all’incremento significativo di rifiuti, al loro incenerimento o smaltimento, causando danni ambientali significativi a lungo termine;</w:t>
      </w:r>
    </w:p>
    <w:p w14:paraId="6884805A" w14:textId="6A9F2F02" w:rsidR="0003782B" w:rsidRPr="00230D6C" w:rsidRDefault="0003782B" w:rsidP="0003782B">
      <w:pPr>
        <w:spacing w:after="160" w:line="259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30D6C">
        <w:rPr>
          <w:rFonts w:ascii="Times New Roman" w:hAnsi="Times New Roman" w:cs="Times New Roman"/>
          <w:i/>
          <w:iCs/>
          <w:sz w:val="22"/>
          <w:szCs w:val="22"/>
        </w:rPr>
        <w:t>5.alla prevenzione e riduzione dell'inquinamento, se determina un aumento delle emissioni di inquinanti nell'aria, nell'acqua o nel suolo;</w:t>
      </w:r>
    </w:p>
    <w:p w14:paraId="41A73866" w14:textId="30C07B66" w:rsidR="001B5FDF" w:rsidRPr="001B5FDF" w:rsidRDefault="0003782B" w:rsidP="0003782B">
      <w:pPr>
        <w:spacing w:after="160" w:line="259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30D6C">
        <w:rPr>
          <w:rFonts w:ascii="Times New Roman" w:hAnsi="Times New Roman" w:cs="Times New Roman"/>
          <w:i/>
          <w:iCs/>
          <w:sz w:val="22"/>
          <w:szCs w:val="22"/>
        </w:rPr>
        <w:t>6.</w:t>
      </w:r>
      <w:r w:rsidRPr="00230D6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230D6C">
        <w:rPr>
          <w:rFonts w:ascii="Times New Roman" w:hAnsi="Times New Roman" w:cs="Times New Roman"/>
          <w:i/>
          <w:iCs/>
          <w:sz w:val="22"/>
          <w:szCs w:val="22"/>
        </w:rPr>
        <w:t>alla protezione e al ripristino di biodiversità e degli ecosistemi, se è dannosa per le buone condizioni e resilienza degli ecosistemi o per lo stato di conservazione degli habitat e delle specie, comprese quelle di interesse per l'Unione europea.</w:t>
      </w:r>
    </w:p>
    <w:p w14:paraId="1F74746D" w14:textId="7ACC4079" w:rsidR="006F099F" w:rsidRPr="001B5FDF" w:rsidRDefault="001B5FDF" w:rsidP="006F099F">
      <w:pPr>
        <w:spacing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5FDF">
        <w:rPr>
          <w:rFonts w:ascii="Times New Roman" w:hAnsi="Times New Roman" w:cs="Times New Roman"/>
          <w:sz w:val="22"/>
          <w:szCs w:val="22"/>
        </w:rPr>
        <w:t>Considerato che l’Avviso</w:t>
      </w:r>
      <w:r w:rsidR="0003782B" w:rsidRPr="00230D6C">
        <w:rPr>
          <w:rFonts w:ascii="Times New Roman" w:hAnsi="Times New Roman" w:cs="Times New Roman"/>
          <w:sz w:val="22"/>
          <w:szCs w:val="22"/>
        </w:rPr>
        <w:t xml:space="preserve"> </w:t>
      </w:r>
      <w:r w:rsidR="006F099F" w:rsidRPr="00230D6C">
        <w:rPr>
          <w:rFonts w:ascii="Times New Roman" w:hAnsi="Times New Roman" w:cs="Times New Roman"/>
          <w:sz w:val="22"/>
          <w:szCs w:val="22"/>
        </w:rPr>
        <w:t xml:space="preserve">si propone di </w:t>
      </w:r>
      <w:r w:rsidR="0003782B" w:rsidRPr="00230D6C">
        <w:rPr>
          <w:rFonts w:ascii="Times New Roman" w:hAnsi="Times New Roman" w:cs="Times New Roman"/>
          <w:sz w:val="22"/>
          <w:szCs w:val="22"/>
        </w:rPr>
        <w:t>favorire l’incremento dell’uso dei beni confiscati</w:t>
      </w:r>
      <w:r w:rsidR="0003782B" w:rsidRPr="00230D6C">
        <w:rPr>
          <w:rFonts w:ascii="Times New Roman" w:hAnsi="Times New Roman" w:cs="Times New Roman"/>
          <w:sz w:val="22"/>
          <w:szCs w:val="22"/>
        </w:rPr>
        <w:t xml:space="preserve">, </w:t>
      </w:r>
      <w:r w:rsidR="006F099F" w:rsidRPr="00230D6C">
        <w:rPr>
          <w:rFonts w:ascii="Times New Roman" w:hAnsi="Times New Roman" w:cs="Times New Roman"/>
          <w:sz w:val="22"/>
          <w:szCs w:val="22"/>
        </w:rPr>
        <w:t>la promozione e la valorizzazione de</w:t>
      </w:r>
      <w:r w:rsidR="0003782B" w:rsidRPr="00230D6C">
        <w:rPr>
          <w:rFonts w:ascii="Times New Roman" w:hAnsi="Times New Roman" w:cs="Times New Roman"/>
          <w:sz w:val="22"/>
          <w:szCs w:val="22"/>
        </w:rPr>
        <w:t xml:space="preserve">i servizi e </w:t>
      </w:r>
      <w:r w:rsidR="006F099F" w:rsidRPr="00230D6C">
        <w:rPr>
          <w:rFonts w:ascii="Times New Roman" w:hAnsi="Times New Roman" w:cs="Times New Roman"/>
          <w:sz w:val="22"/>
          <w:szCs w:val="22"/>
        </w:rPr>
        <w:t>de</w:t>
      </w:r>
      <w:r w:rsidR="0003782B" w:rsidRPr="00230D6C">
        <w:rPr>
          <w:rFonts w:ascii="Times New Roman" w:hAnsi="Times New Roman" w:cs="Times New Roman"/>
          <w:sz w:val="22"/>
          <w:szCs w:val="22"/>
        </w:rPr>
        <w:t>i prodotti che si realizzano sui beni confiscati anche per l’internazionalizzazione e la digitalizzazione degli stessi</w:t>
      </w:r>
      <w:r w:rsidR="0003782B" w:rsidRPr="00230D6C">
        <w:rPr>
          <w:rFonts w:ascii="Times New Roman" w:hAnsi="Times New Roman" w:cs="Times New Roman"/>
          <w:sz w:val="22"/>
          <w:szCs w:val="22"/>
        </w:rPr>
        <w:t xml:space="preserve">, </w:t>
      </w:r>
      <w:r w:rsidR="006F099F" w:rsidRPr="00230D6C">
        <w:rPr>
          <w:rFonts w:ascii="Times New Roman" w:hAnsi="Times New Roman" w:cs="Times New Roman"/>
          <w:sz w:val="22"/>
          <w:szCs w:val="22"/>
        </w:rPr>
        <w:t>il sostegno ai</w:t>
      </w:r>
      <w:r w:rsidR="0003782B" w:rsidRPr="00230D6C">
        <w:rPr>
          <w:rFonts w:ascii="Times New Roman" w:hAnsi="Times New Roman" w:cs="Times New Roman"/>
          <w:sz w:val="22"/>
          <w:szCs w:val="22"/>
        </w:rPr>
        <w:t xml:space="preserve"> percorsi finalizzati al rafforzamento delle competenze dei lavoratori e all’inserimento lavorativo dei soggetti cd. svantaggiati nelle imprese sociali che operano sui beni confiscati</w:t>
      </w:r>
      <w:r w:rsidR="006F099F" w:rsidRPr="00230D6C">
        <w:rPr>
          <w:rFonts w:ascii="Times New Roman" w:hAnsi="Times New Roman" w:cs="Times New Roman"/>
          <w:sz w:val="22"/>
          <w:szCs w:val="22"/>
        </w:rPr>
        <w:t xml:space="preserve">, </w:t>
      </w:r>
      <w:r w:rsidR="006F099F" w:rsidRPr="001B5FDF">
        <w:rPr>
          <w:rFonts w:ascii="Times New Roman" w:hAnsi="Times New Roman" w:cs="Times New Roman"/>
          <w:sz w:val="22"/>
          <w:szCs w:val="22"/>
        </w:rPr>
        <w:t>al fine di garantir</w:t>
      </w:r>
      <w:r w:rsidR="006F099F" w:rsidRPr="00230D6C">
        <w:rPr>
          <w:rFonts w:ascii="Times New Roman" w:hAnsi="Times New Roman" w:cs="Times New Roman"/>
          <w:sz w:val="22"/>
          <w:szCs w:val="22"/>
        </w:rPr>
        <w:t>e</w:t>
      </w:r>
      <w:r w:rsidR="006F099F" w:rsidRPr="001B5FDF">
        <w:rPr>
          <w:rFonts w:ascii="Times New Roman" w:hAnsi="Times New Roman" w:cs="Times New Roman"/>
          <w:sz w:val="22"/>
          <w:szCs w:val="22"/>
        </w:rPr>
        <w:t xml:space="preserve"> la conformità attuativa al principio DNSH</w:t>
      </w:r>
      <w:r w:rsidR="00230D6C">
        <w:rPr>
          <w:rFonts w:ascii="Times New Roman" w:hAnsi="Times New Roman" w:cs="Times New Roman"/>
          <w:sz w:val="22"/>
          <w:szCs w:val="22"/>
        </w:rPr>
        <w:t>,</w:t>
      </w:r>
      <w:r w:rsidR="006F099F" w:rsidRPr="00230D6C">
        <w:rPr>
          <w:rFonts w:ascii="Times New Roman" w:hAnsi="Times New Roman" w:cs="Times New Roman"/>
          <w:sz w:val="22"/>
          <w:szCs w:val="22"/>
        </w:rPr>
        <w:t xml:space="preserve"> </w:t>
      </w:r>
      <w:r w:rsidR="006F099F" w:rsidRPr="00230D6C">
        <w:rPr>
          <w:rFonts w:ascii="Times New Roman" w:hAnsi="Times New Roman" w:cs="Times New Roman"/>
          <w:sz w:val="22"/>
          <w:szCs w:val="22"/>
        </w:rPr>
        <w:t xml:space="preserve">le attività oggetto di ciascun investimento selezionato attraverso l’Avviso e da ammettere a finanziamento nell’ambito del PR FESR </w:t>
      </w:r>
      <w:r w:rsidR="00230D6C">
        <w:rPr>
          <w:rFonts w:ascii="Times New Roman" w:hAnsi="Times New Roman" w:cs="Times New Roman"/>
          <w:sz w:val="22"/>
          <w:szCs w:val="22"/>
        </w:rPr>
        <w:t xml:space="preserve">21-27 </w:t>
      </w:r>
      <w:r w:rsidR="006F099F" w:rsidRPr="00230D6C">
        <w:rPr>
          <w:rFonts w:ascii="Times New Roman" w:hAnsi="Times New Roman" w:cs="Times New Roman"/>
          <w:sz w:val="22"/>
          <w:szCs w:val="22"/>
        </w:rPr>
        <w:t>dovranno essere condotte in modo conforme ai criteri di vaglio tecnico desumibili dall’Allegato II al Regolamento Delegato (UE) 2021/2139 della Commissione del 4 giugno 2021 che integra il Regolamento (UE) 2020/852</w:t>
      </w:r>
      <w:r w:rsidR="006F099F" w:rsidRPr="00230D6C">
        <w:rPr>
          <w:rFonts w:ascii="Times New Roman" w:hAnsi="Times New Roman" w:cs="Times New Roman"/>
          <w:sz w:val="22"/>
          <w:szCs w:val="22"/>
        </w:rPr>
        <w:t xml:space="preserve"> e di seguito riportati: </w:t>
      </w:r>
    </w:p>
    <w:p w14:paraId="6F4D65DB" w14:textId="51A344AD" w:rsidR="006F099F" w:rsidRPr="00230D6C" w:rsidRDefault="006F099F" w:rsidP="001B5FDF">
      <w:pPr>
        <w:spacing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FCC5DEF" w14:textId="1C0F7243" w:rsidR="001B5FDF" w:rsidRPr="00230D6C" w:rsidRDefault="00D03FF9" w:rsidP="00D03FF9">
      <w:pPr>
        <w:pStyle w:val="Paragrafoelenco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/>
          <w:bCs/>
        </w:rPr>
      </w:pPr>
      <w:r w:rsidRPr="00230D6C">
        <w:rPr>
          <w:rFonts w:ascii="Times New Roman" w:hAnsi="Times New Roman" w:cs="Times New Roman"/>
          <w:sz w:val="22"/>
          <w:szCs w:val="22"/>
        </w:rPr>
        <w:t>P</w:t>
      </w:r>
      <w:r w:rsidRPr="00230D6C">
        <w:rPr>
          <w:rFonts w:ascii="Times New Roman" w:hAnsi="Times New Roman" w:cs="Times New Roman"/>
          <w:sz w:val="22"/>
          <w:szCs w:val="22"/>
        </w:rPr>
        <w:t>er le spese</w:t>
      </w:r>
      <w:r w:rsidR="002C22F2">
        <w:rPr>
          <w:rFonts w:ascii="Times New Roman" w:hAnsi="Times New Roman" w:cs="Times New Roman"/>
          <w:sz w:val="22"/>
          <w:szCs w:val="22"/>
        </w:rPr>
        <w:t xml:space="preserve"> ammissibili</w:t>
      </w:r>
      <w:r w:rsidRPr="00230D6C">
        <w:rPr>
          <w:rFonts w:ascii="Times New Roman" w:hAnsi="Times New Roman" w:cs="Times New Roman"/>
          <w:sz w:val="22"/>
          <w:szCs w:val="22"/>
        </w:rPr>
        <w:t xml:space="preserve"> </w:t>
      </w:r>
      <w:r w:rsidRPr="00230D6C">
        <w:rPr>
          <w:rFonts w:ascii="Times New Roman" w:hAnsi="Times New Roman" w:cs="Times New Roman"/>
          <w:sz w:val="22"/>
          <w:szCs w:val="22"/>
        </w:rPr>
        <w:t xml:space="preserve">riconducibili alla scheda </w:t>
      </w:r>
      <w:r w:rsidRPr="00230D6C">
        <w:rPr>
          <w:rFonts w:ascii="Times New Roman" w:hAnsi="Times New Roman" w:cs="Times New Roman"/>
          <w:b/>
          <w:bCs/>
          <w:sz w:val="22"/>
          <w:szCs w:val="22"/>
        </w:rPr>
        <w:t>“7.2 - Ristrutturazione di edifici esistenti”</w:t>
      </w:r>
      <w:r w:rsidRPr="00230D6C">
        <w:rPr>
          <w:rFonts w:ascii="Times New Roman" w:hAnsi="Times New Roman" w:cs="Times New Roman"/>
          <w:sz w:val="22"/>
          <w:szCs w:val="22"/>
        </w:rPr>
        <w:t xml:space="preserve">, </w:t>
      </w:r>
      <w:r w:rsidR="001B5FDF" w:rsidRPr="00230D6C">
        <w:rPr>
          <w:rFonts w:ascii="Times New Roman" w:hAnsi="Times New Roman" w:cs="Times New Roman"/>
          <w:sz w:val="22"/>
          <w:szCs w:val="22"/>
        </w:rPr>
        <w:t>il principio DNSH si ritiene assolto se:</w:t>
      </w:r>
    </w:p>
    <w:p w14:paraId="46249BD8" w14:textId="77777777" w:rsidR="00D03FF9" w:rsidRPr="00230D6C" w:rsidRDefault="00D03FF9" w:rsidP="00D03FF9">
      <w:pPr>
        <w:pStyle w:val="Paragrafoelenco"/>
        <w:jc w:val="both"/>
        <w:rPr>
          <w:rFonts w:ascii="Times New Roman" w:hAnsi="Times New Roman" w:cs="Times New Roman"/>
        </w:rPr>
      </w:pPr>
    </w:p>
    <w:p w14:paraId="7393E916" w14:textId="77777777" w:rsidR="00D03FF9" w:rsidRPr="00230D6C" w:rsidRDefault="00D03FF9" w:rsidP="00D03FF9">
      <w:pPr>
        <w:pStyle w:val="Paragrafoelenco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  <w:b/>
          <w:bCs/>
        </w:rPr>
        <w:t>in relazione all’Obiettivo 1 (Mitigazione dei cambiamenti climatici):</w:t>
      </w:r>
      <w:r w:rsidRPr="00230D6C">
        <w:rPr>
          <w:rFonts w:ascii="Times New Roman" w:hAnsi="Times New Roman" w:cs="Times New Roman"/>
        </w:rPr>
        <w:t xml:space="preserve"> la ristrutturazione degli edifici sia conforme ai requisiti applicabili per le ristrutturazioni importanti in accordo alla Direttiva 2010/31/UE, oppure, in alternativa, comporti una riduzione del fabbisogno di energia primaria di almeno il 30%; </w:t>
      </w:r>
    </w:p>
    <w:p w14:paraId="12DC69EA" w14:textId="23118E7C" w:rsidR="00D03FF9" w:rsidRPr="00230D6C" w:rsidRDefault="00D03FF9" w:rsidP="00D03FF9">
      <w:pPr>
        <w:pStyle w:val="Paragrafoelenco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  <w:b/>
          <w:bCs/>
        </w:rPr>
        <w:t>in relazione all’Obiettivo 2 (Adattamento ai cambiamenti climatici)</w:t>
      </w:r>
      <w:r w:rsidRPr="00230D6C">
        <w:rPr>
          <w:rFonts w:ascii="Times New Roman" w:hAnsi="Times New Roman" w:cs="Times New Roman"/>
        </w:rPr>
        <w:t xml:space="preserve">: i rischi climatici fisici che pesano sull'attività siano stati identificati considerando quali possono influenzare l'andamento dell'attività economica durante il ciclo di vita previsto; se l'attività è considerata a </w:t>
      </w:r>
      <w:r w:rsidRPr="00230D6C">
        <w:rPr>
          <w:rFonts w:ascii="Times New Roman" w:hAnsi="Times New Roman" w:cs="Times New Roman"/>
        </w:rPr>
        <w:lastRenderedPageBreak/>
        <w:t>rischio per uno o più rischi climatici fisici, sia condotta una valutazione del rischio climatico e della vulnerabilità; siano valutate soluzioni di adattamento che possono ridurre il rischio fisico climatico individuato; la valutazione sia effettuata ricorrendo a proiezioni climatiche sulla scala appropriata più ridotta possibile; le proiezioni climatiche e la valutazione degli impatti sia basata sulle migliori pratiche e sugli orientamenti disponibili, tenendo conto delle più attuali conoscenze scientifiche per l'analisi della vulnerabilità e del rischio; in caso siano individuati importanti rischi climatici, siano attuate, ovvero previste, "soluzioni di adattamento" (fisiche e non-fisiche) tali da ridurre in modo sostanziale i rischi. Le “soluzioni di adattamento” attuate, ovvero previste, siano coerenti con i criteri sottoelencati:</w:t>
      </w:r>
    </w:p>
    <w:p w14:paraId="17AF7133" w14:textId="77777777" w:rsidR="00D03FF9" w:rsidRPr="00230D6C" w:rsidRDefault="00D03FF9" w:rsidP="00D03FF9">
      <w:pPr>
        <w:pStyle w:val="Paragrafoelenco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</w:rPr>
        <w:t>non influiscono negativamente sugli sforzi di adattamento o sul livello di resilienza ai rischi climatici fisici di altre persone, della natura, del patrimonio culturale, dei beni e di altre attività economiche;</w:t>
      </w:r>
    </w:p>
    <w:p w14:paraId="763D3019" w14:textId="77777777" w:rsidR="00D03FF9" w:rsidRPr="00230D6C" w:rsidRDefault="00D03FF9" w:rsidP="00D03FF9">
      <w:pPr>
        <w:pStyle w:val="Paragrafoelenco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</w:rPr>
        <w:t>favoriscono le soluzioni basate sulla natura o si basano, per quanto possibile, su infrastrutture blu o verdi;</w:t>
      </w:r>
    </w:p>
    <w:p w14:paraId="1492AB93" w14:textId="77777777" w:rsidR="00D03FF9" w:rsidRPr="00230D6C" w:rsidRDefault="00D03FF9" w:rsidP="00D03FF9">
      <w:pPr>
        <w:pStyle w:val="Paragrafoelenco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</w:rPr>
        <w:t>sono coerenti con i piani e le strategie di adattamento locali, settoriali, regionali o nazionali;</w:t>
      </w:r>
    </w:p>
    <w:p w14:paraId="79363B5B" w14:textId="77777777" w:rsidR="00D03FF9" w:rsidRPr="00230D6C" w:rsidRDefault="00D03FF9" w:rsidP="00D03FF9">
      <w:pPr>
        <w:pStyle w:val="Paragrafoelenco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</w:rPr>
        <w:t>sono monitorate e misurate in base a indicatori predefiniti e, nel caso in cui tali indicatori non siano soddisfatti, vengono prese in considerazione azioni correttive;</w:t>
      </w:r>
    </w:p>
    <w:p w14:paraId="6821539A" w14:textId="5347813F" w:rsidR="00D03FF9" w:rsidRPr="00230D6C" w:rsidRDefault="00D03FF9" w:rsidP="00D03FF9">
      <w:pPr>
        <w:pStyle w:val="Paragrafoelenco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</w:rPr>
        <w:t>laddove la soluzione attuata sia fisica e consista in un'attività per la quale sono stati specificati criteri di vaglio tecnico nel presente allegato, la soluzione è conforme ai criteri di vaglio tecnico relativi a "non arrecare danno significativo" (DNSH) per tale attività</w:t>
      </w:r>
      <w:r w:rsidRPr="00230D6C">
        <w:rPr>
          <w:rFonts w:ascii="Times New Roman" w:hAnsi="Times New Roman" w:cs="Times New Roman"/>
        </w:rPr>
        <w:t>.</w:t>
      </w:r>
    </w:p>
    <w:p w14:paraId="2DD4E787" w14:textId="77777777" w:rsidR="00D03FF9" w:rsidRPr="00230D6C" w:rsidRDefault="00D03FF9" w:rsidP="00D03FF9">
      <w:pPr>
        <w:pStyle w:val="Paragrafoelenco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  <w:b/>
          <w:bCs/>
        </w:rPr>
        <w:t>in relazione all’Obiettivo 3 (Uso sostenibile e protezione delle acque e delle risorse marine):</w:t>
      </w:r>
      <w:r w:rsidRPr="00230D6C">
        <w:rPr>
          <w:rFonts w:ascii="Times New Roman" w:hAnsi="Times New Roman" w:cs="Times New Roman"/>
        </w:rPr>
        <w:t xml:space="preserve"> il consumo di acqua specificato per apparecchi idraulici sia attestato da schede tecniche di prodotto, da una certificazione dell'edificio o da un'etichetta di prodotto esistente nell'Unione; la certificazione/attestazione relativa agli impianti garantisca le seguenti prestazioni tecniche degli apparecchi idraulici:</w:t>
      </w:r>
    </w:p>
    <w:p w14:paraId="7AECFAEA" w14:textId="77777777" w:rsidR="00D03FF9" w:rsidRPr="00230D6C" w:rsidRDefault="00D03FF9" w:rsidP="00D03FF9">
      <w:pPr>
        <w:pStyle w:val="Paragrafoelenco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</w:rPr>
        <w:t>i rubinetti di lavandini e lavelli presentano un flusso d'acqua massimo di 6 litri/minuto;</w:t>
      </w:r>
    </w:p>
    <w:p w14:paraId="7219D395" w14:textId="77777777" w:rsidR="00D03FF9" w:rsidRPr="00230D6C" w:rsidRDefault="00D03FF9" w:rsidP="00D03FF9">
      <w:pPr>
        <w:pStyle w:val="Paragrafoelenco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</w:rPr>
        <w:t>le docce presentano un flusso d'acqua massimo di 8 litri/minuto</w:t>
      </w:r>
      <w:r w:rsidRPr="00230D6C">
        <w:rPr>
          <w:rFonts w:ascii="Times New Roman" w:hAnsi="Times New Roman" w:cs="Times New Roman"/>
        </w:rPr>
        <w:t>;</w:t>
      </w:r>
    </w:p>
    <w:p w14:paraId="7A7EB1D0" w14:textId="77777777" w:rsidR="00D03FF9" w:rsidRPr="00230D6C" w:rsidRDefault="00D03FF9" w:rsidP="00D03FF9">
      <w:pPr>
        <w:pStyle w:val="Paragrafoelenco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</w:rPr>
        <w:t>i vasi sanitari, compresi quelli accoppiati a un sistema di scarico, i vasi e le cassette di scarico hanno una capacità di scarico completa massima di 6 litri e una capacità di scarico media massima di 3,5 litri;</w:t>
      </w:r>
    </w:p>
    <w:p w14:paraId="2B1CD1C8" w14:textId="3888FDD5" w:rsidR="00D03FF9" w:rsidRPr="00230D6C" w:rsidRDefault="00D03FF9" w:rsidP="00D03FF9">
      <w:pPr>
        <w:pStyle w:val="Paragrafoelenco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</w:rPr>
        <w:t>gli orinatoi utilizzano al massimo 2 litri/vaso/ora. Gli orinatoi a scarico d'acqua hanno una capacità di scarico completa massima di 1 litro;</w:t>
      </w:r>
    </w:p>
    <w:p w14:paraId="7F9E127C" w14:textId="77777777" w:rsidR="00D03FF9" w:rsidRPr="00230D6C" w:rsidRDefault="00D03FF9" w:rsidP="00D03FF9">
      <w:pPr>
        <w:pStyle w:val="Paragrafoelenco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  <w:b/>
          <w:bCs/>
        </w:rPr>
        <w:t>in relazione all’Obiettivo 4 (Transizione verso un'economia circolare, inclusa la prevenzione, il riutilizzo ed il riciclaggio dei rifiuti):</w:t>
      </w:r>
      <w:r w:rsidRPr="00230D6C">
        <w:rPr>
          <w:rFonts w:ascii="Times New Roman" w:hAnsi="Times New Roman" w:cs="Times New Roman"/>
        </w:rPr>
        <w:t xml:space="preserve"> almeno il 70 % (in termini di peso) dei rifiuti non pericolosi (escluso il materiale allo stato naturale definito alla voce 17.05.04 dell'elenco europeo dei rifiuti istituito dalla decisione 2000/532/CE) prodotti in cantiere sia preparato per il riutilizzo, il riciclaggio e altri tipi di recupero di materiale, incluse operazioni di riempimento che utilizzano i rifiuti in sostituzione di altri materiali; siano previste tecniche che limitano la produzione di rifiuti tenendo conto delle migliori tecniche disponibili, utilizzando la demolizion</w:t>
      </w:r>
      <w:r w:rsidRPr="00230D6C">
        <w:rPr>
          <w:rFonts w:ascii="Times New Roman" w:hAnsi="Times New Roman" w:cs="Times New Roman"/>
        </w:rPr>
        <w:t xml:space="preserve">e </w:t>
      </w:r>
      <w:r w:rsidRPr="00230D6C">
        <w:rPr>
          <w:rFonts w:ascii="Times New Roman" w:hAnsi="Times New Roman" w:cs="Times New Roman"/>
        </w:rPr>
        <w:t>selettiva, tecniche e/o tecnologie adattabili, flessibili e smantellabili per consentire il riutilizzo e il riciclaggio; le attività di progettazione e le tecniche di esecuzione siano attuate nel rispetto della norma ISO 20887, o di altre norme per la valutazione del disassemblabilità o adattabilità degli edifici;</w:t>
      </w:r>
    </w:p>
    <w:p w14:paraId="43C9ACEB" w14:textId="7C309E1C" w:rsidR="00D03FF9" w:rsidRPr="00230D6C" w:rsidRDefault="00D03FF9" w:rsidP="00D03FF9">
      <w:pPr>
        <w:pStyle w:val="Paragrafoelenco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  <w:b/>
          <w:bCs/>
        </w:rPr>
        <w:t>in relazione all’Obiettivo 5 (Prevenzione e riduzione dell'inquinamento):</w:t>
      </w:r>
      <w:r w:rsidRPr="00230D6C">
        <w:rPr>
          <w:rFonts w:ascii="Times New Roman" w:hAnsi="Times New Roman" w:cs="Times New Roman"/>
        </w:rPr>
        <w:t xml:space="preserve"> i componenti e i materiali edili utilizzati nella costruzione soddisfino i criteri di cui all’appendice C del Reg. 2139/21; siano state eseguite prove conformi delle condizioni di cui all'allegato XVII del regolamento (CE) n. 1907/2006 sui componenti e sui materiali edili utilizzati, al fine di valutare l'esposizione degli occupanti alla formaldeide, </w:t>
      </w:r>
      <w:r w:rsidRPr="00230D6C">
        <w:rPr>
          <w:rFonts w:ascii="Times New Roman" w:hAnsi="Times New Roman" w:cs="Times New Roman"/>
        </w:rPr>
        <w:t>nonché</w:t>
      </w:r>
      <w:r w:rsidRPr="00230D6C">
        <w:rPr>
          <w:rFonts w:ascii="Times New Roman" w:hAnsi="Times New Roman" w:cs="Times New Roman"/>
        </w:rPr>
        <w:t xml:space="preserve"> prove conformi alle norme CEN/EN </w:t>
      </w:r>
      <w:r w:rsidRPr="00230D6C">
        <w:rPr>
          <w:rFonts w:ascii="Times New Roman" w:hAnsi="Times New Roman" w:cs="Times New Roman"/>
        </w:rPr>
        <w:lastRenderedPageBreak/>
        <w:t>16516 o ISO 16000-3:2011 per la valutazione di esposizione ai composti organici volatili cancerogenti di categoria 1A e 1B; siano adottate misure per ridurre il rumore, le polveri e le emissioni inquinanti durante i lavori</w:t>
      </w:r>
      <w:r w:rsidR="00230D6C" w:rsidRPr="00230D6C">
        <w:rPr>
          <w:rFonts w:ascii="Times New Roman" w:hAnsi="Times New Roman" w:cs="Times New Roman"/>
        </w:rPr>
        <w:t>.</w:t>
      </w:r>
    </w:p>
    <w:p w14:paraId="433173BC" w14:textId="77777777" w:rsidR="00230D6C" w:rsidRPr="00230D6C" w:rsidRDefault="00230D6C" w:rsidP="00230D6C">
      <w:pPr>
        <w:jc w:val="both"/>
        <w:rPr>
          <w:rFonts w:ascii="Times New Roman" w:hAnsi="Times New Roman" w:cs="Times New Roman"/>
        </w:rPr>
      </w:pPr>
    </w:p>
    <w:p w14:paraId="4852C6E4" w14:textId="70E6B3FD" w:rsidR="00230D6C" w:rsidRPr="00230D6C" w:rsidRDefault="00230D6C" w:rsidP="00230D6C">
      <w:pPr>
        <w:pStyle w:val="Paragrafoelenco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/>
          <w:bCs/>
        </w:rPr>
      </w:pPr>
      <w:r w:rsidRPr="00230D6C">
        <w:rPr>
          <w:rFonts w:ascii="Times New Roman" w:hAnsi="Times New Roman" w:cs="Times New Roman"/>
          <w:sz w:val="22"/>
          <w:szCs w:val="22"/>
        </w:rPr>
        <w:t>Per le spese</w:t>
      </w:r>
      <w:r w:rsidR="002C22F2">
        <w:rPr>
          <w:rFonts w:ascii="Times New Roman" w:hAnsi="Times New Roman" w:cs="Times New Roman"/>
          <w:sz w:val="22"/>
          <w:szCs w:val="22"/>
        </w:rPr>
        <w:t xml:space="preserve"> ammissibili</w:t>
      </w:r>
      <w:r w:rsidRPr="00230D6C">
        <w:rPr>
          <w:rFonts w:ascii="Times New Roman" w:hAnsi="Times New Roman" w:cs="Times New Roman"/>
          <w:sz w:val="22"/>
          <w:szCs w:val="22"/>
        </w:rPr>
        <w:t xml:space="preserve"> riconducibili alla scheda </w:t>
      </w:r>
      <w:r w:rsidRPr="00230D6C">
        <w:rPr>
          <w:rFonts w:ascii="Times New Roman" w:hAnsi="Times New Roman" w:cs="Times New Roman"/>
          <w:b/>
          <w:bCs/>
          <w:sz w:val="22"/>
          <w:szCs w:val="22"/>
        </w:rPr>
        <w:t>“8.1 Elaborazione dei dati, hosting e attività connesse”,</w:t>
      </w:r>
      <w:r w:rsidRPr="00230D6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30D6C">
        <w:rPr>
          <w:rFonts w:ascii="Times New Roman" w:hAnsi="Times New Roman" w:cs="Times New Roman"/>
          <w:sz w:val="22"/>
          <w:szCs w:val="22"/>
        </w:rPr>
        <w:t>il principio DNSH si ritiene assolto se:</w:t>
      </w:r>
    </w:p>
    <w:p w14:paraId="015B1AA6" w14:textId="77777777" w:rsidR="00230D6C" w:rsidRPr="00230D6C" w:rsidRDefault="00230D6C" w:rsidP="00230D6C">
      <w:pPr>
        <w:pStyle w:val="Paragrafoelenco"/>
        <w:ind w:left="284"/>
        <w:jc w:val="both"/>
        <w:rPr>
          <w:rFonts w:ascii="Times New Roman" w:hAnsi="Times New Roman" w:cs="Times New Roman"/>
          <w:b/>
          <w:bCs/>
        </w:rPr>
      </w:pPr>
    </w:p>
    <w:p w14:paraId="7DBDA301" w14:textId="77777777" w:rsidR="00230D6C" w:rsidRPr="00230D6C" w:rsidRDefault="00230D6C" w:rsidP="00230D6C">
      <w:pPr>
        <w:pStyle w:val="Paragrafoelenco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b/>
          <w:bCs/>
        </w:rPr>
      </w:pPr>
      <w:r w:rsidRPr="00230D6C">
        <w:rPr>
          <w:rFonts w:ascii="Times New Roman" w:hAnsi="Times New Roman" w:cs="Times New Roman"/>
          <w:b/>
          <w:bCs/>
        </w:rPr>
        <w:t>in relazione all’Obiettivo 1 (Mitigazione dei cambiamenti climatici):</w:t>
      </w:r>
      <w:r w:rsidRPr="00230D6C">
        <w:rPr>
          <w:rFonts w:ascii="Times New Roman" w:hAnsi="Times New Roman" w:cs="Times New Roman"/>
        </w:rPr>
        <w:t xml:space="preserve"> l'attività abbia attuato tutte le pratiche pertinenti indicate come «pratiche attese» nella versione più recente del codice di condotta europeo sull'efficienza energetica dei centri di dati o nel documento CEN-CENELEC CLC TR50600-99-1 Data centre facilities and infrastructures - Part 99-1: Recommended practices for energy management; l'attività abbia attuato tutte le pratiche attese a cui è stato assegnato il valore massimo di 5 secondo la versione più recente del codice di condotta europeo sull'efficienza energetica dei centri di dati</w:t>
      </w:r>
      <w:r w:rsidRPr="00230D6C">
        <w:rPr>
          <w:rFonts w:ascii="Times New Roman" w:hAnsi="Times New Roman" w:cs="Times New Roman"/>
        </w:rPr>
        <w:t>;</w:t>
      </w:r>
    </w:p>
    <w:p w14:paraId="610BE63A" w14:textId="5E910D71" w:rsidR="00230D6C" w:rsidRPr="00230D6C" w:rsidRDefault="00230D6C" w:rsidP="00230D6C">
      <w:pPr>
        <w:pStyle w:val="Paragrafoelenco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b/>
          <w:bCs/>
        </w:rPr>
      </w:pPr>
      <w:r w:rsidRPr="00230D6C">
        <w:rPr>
          <w:rFonts w:ascii="Times New Roman" w:hAnsi="Times New Roman" w:cs="Times New Roman"/>
          <w:b/>
          <w:bCs/>
        </w:rPr>
        <w:t>in relazione all’Obiettivo 2 (Adattamento ai cambiamenti climatici):</w:t>
      </w:r>
      <w:r w:rsidRPr="00230D6C">
        <w:rPr>
          <w:rFonts w:ascii="Times New Roman" w:hAnsi="Times New Roman" w:cs="Times New Roman"/>
        </w:rPr>
        <w:t xml:space="preserve"> i rischi climatici fisici che pesano sull'attività siano stati identificati considerando quali possono influenzare l'andamento dell'attività economica durante il ciclo di vita previsto; se l'attività è considerata a rischio per uno o più rischi climatici fisici, sia condotta una valutazione del rischio climatico e della vulnerabilità; siano state valutate soluzioni di adattamento che possono ridurre il rischio fisico climatico individuato; la valutazione sia effettuata ricorrendo a proiezioni climatiche sulla scala appropriata più ridotta possibile; le proiezioni climatiche e la valutazione degli impatti siano stata basata sulle migliori pratiche e sugli orientamenti disponibili, tenendo conto delle più attuali conoscenze scientifiche per l'analisi della vulnerabilità e del rischio; in caso siano stati individuati importanti rischi climatici, siano state attuate, ovvero previste, "soluzioni di adattamento" (fisiche e non-fisiche) tali da ridurre in modo sostanziale i rischi; le soluzioni di adattamento attuate, ovvero previste siano coerenti con i criteri sottoelencati:</w:t>
      </w:r>
    </w:p>
    <w:p w14:paraId="2C432F48" w14:textId="77777777" w:rsidR="00230D6C" w:rsidRDefault="00230D6C" w:rsidP="00230D6C">
      <w:pPr>
        <w:pStyle w:val="Paragrafoelenco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</w:rPr>
        <w:t>non influiscono negativamente sugli sforzi di adattamento o sul livello di resilienza ai rischi climatici fisici di altre persone, della natura, del patrimonio culturale, dei beni e di altre attività economiche;</w:t>
      </w:r>
    </w:p>
    <w:p w14:paraId="6CC5F756" w14:textId="77777777" w:rsidR="00230D6C" w:rsidRDefault="00230D6C" w:rsidP="00230D6C">
      <w:pPr>
        <w:pStyle w:val="Paragrafoelenco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</w:rPr>
        <w:t>favoriscono le soluzioni basate sulla natura o si basano, per quanto possibile, su infrastrutture blu o verdi;</w:t>
      </w:r>
    </w:p>
    <w:p w14:paraId="1536FF4B" w14:textId="77777777" w:rsidR="00230D6C" w:rsidRDefault="00230D6C" w:rsidP="00230D6C">
      <w:pPr>
        <w:pStyle w:val="Paragrafoelenco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</w:rPr>
        <w:t>sono coerenti con i piani e le strategie di adattamento locali, settoriali, regionali o nazionali;</w:t>
      </w:r>
    </w:p>
    <w:p w14:paraId="48721821" w14:textId="77777777" w:rsidR="00230D6C" w:rsidRDefault="00230D6C" w:rsidP="00230D6C">
      <w:pPr>
        <w:pStyle w:val="Paragrafoelenco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</w:rPr>
        <w:t>sono monitorate e misurate in base a indicatori predefiniti e, nel caso in cui tali indicatori non siano soddisfatti, vengono prese in considerazione azioni correttive;</w:t>
      </w:r>
    </w:p>
    <w:p w14:paraId="790A6F58" w14:textId="2655E655" w:rsidR="00230D6C" w:rsidRPr="00230D6C" w:rsidRDefault="00230D6C" w:rsidP="00230D6C">
      <w:pPr>
        <w:pStyle w:val="Paragrafoelenco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</w:rPr>
        <w:t>laddove la soluzione attuata sia fisica e consista in un'attività per la quale sono stati specificati criteri di vaglio tecnico nel presente allegato, la soluzione è conforme ai criteri di vaglio tecnico relativi a "non arrecare danno significativo" (DNSH) per tale attività.</w:t>
      </w:r>
    </w:p>
    <w:p w14:paraId="25FA016F" w14:textId="77777777" w:rsidR="00230D6C" w:rsidRPr="00230D6C" w:rsidRDefault="00230D6C" w:rsidP="00230D6C">
      <w:pPr>
        <w:pStyle w:val="Paragrafoelenco"/>
        <w:numPr>
          <w:ilvl w:val="0"/>
          <w:numId w:val="11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  <w:b/>
          <w:bCs/>
        </w:rPr>
        <w:t>in relazione all’Obiettivo 3 (Uso sostenibile e protezione delle acque e delle risorse marine)</w:t>
      </w:r>
      <w:r w:rsidRPr="00230D6C">
        <w:rPr>
          <w:rFonts w:ascii="Times New Roman" w:hAnsi="Times New Roman" w:cs="Times New Roman"/>
          <w:b/>
          <w:bCs/>
        </w:rPr>
        <w:t>:</w:t>
      </w:r>
      <w:r w:rsidRPr="00230D6C">
        <w:rPr>
          <w:rFonts w:ascii="Times New Roman" w:hAnsi="Times New Roman" w:cs="Times New Roman"/>
        </w:rPr>
        <w:t xml:space="preserve"> siano stati individuati ed affrontati i rischi di degrado ambientale connessi alla conservazione della qualità dell'acqua e alla prevenzione dello stress idrico;</w:t>
      </w:r>
    </w:p>
    <w:p w14:paraId="1EF6A320" w14:textId="4FFDFF2B" w:rsidR="00230D6C" w:rsidRPr="00230D6C" w:rsidRDefault="00230D6C" w:rsidP="00230D6C">
      <w:pPr>
        <w:pStyle w:val="Paragrafoelenco"/>
        <w:numPr>
          <w:ilvl w:val="0"/>
          <w:numId w:val="11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  <w:b/>
          <w:bCs/>
        </w:rPr>
        <w:t>in relazione all’Obiettivo 4 (Transizione verso un'economia circolare, inclusa la prevenzione, il riutilizzo ed il riciclaggio dei rifiuti):</w:t>
      </w:r>
      <w:r w:rsidRPr="00230D6C">
        <w:rPr>
          <w:rFonts w:ascii="Times New Roman" w:hAnsi="Times New Roman" w:cs="Times New Roman"/>
        </w:rPr>
        <w:t xml:space="preserve"> le apparecchiature utilizzate soddisfino le prescrizioni stabilite dalla direttiva 2009/125/CE per i server e i prodotti per l'archiviazione dei dati; le apparecchiature utilizzate contengano sostanze con restrizioni d'uso di cui all'allegato II della Direttiva 2011/65/UE, a meno dei casi consentiti nello stesso allegato; sia in atto un piano di gestione dei rifiuti che garantisce il riciclaggio massimo al termine del ciclo di vita delle apparecchiature elettriche ed elettroniche; al termine del ciclo di vita le apparecchiature siano sottoposte a preparazione per il riutilizzo, il recupero o il riciclaggio o a </w:t>
      </w:r>
      <w:r w:rsidRPr="00230D6C">
        <w:rPr>
          <w:rFonts w:ascii="Times New Roman" w:hAnsi="Times New Roman" w:cs="Times New Roman"/>
        </w:rPr>
        <w:lastRenderedPageBreak/>
        <w:t>un trattamento adeguato, compresa l'eliminazione di tutti i liquidi, e un trattamento selettivo ai sensi dell'allegato VII della Direttiva 2012/19/UE</w:t>
      </w:r>
      <w:r w:rsidRPr="00230D6C">
        <w:rPr>
          <w:rFonts w:ascii="Times New Roman" w:hAnsi="Times New Roman" w:cs="Times New Roman"/>
        </w:rPr>
        <w:t>;</w:t>
      </w:r>
    </w:p>
    <w:p w14:paraId="6A7077D5" w14:textId="77777777" w:rsidR="00230D6C" w:rsidRPr="00230D6C" w:rsidRDefault="00230D6C" w:rsidP="00230D6C">
      <w:pPr>
        <w:jc w:val="both"/>
        <w:rPr>
          <w:rFonts w:ascii="Times New Roman" w:hAnsi="Times New Roman" w:cs="Times New Roman"/>
        </w:rPr>
      </w:pPr>
    </w:p>
    <w:p w14:paraId="3F48546C" w14:textId="51B00525" w:rsidR="00230D6C" w:rsidRPr="00230D6C" w:rsidRDefault="00230D6C" w:rsidP="00230D6C">
      <w:pPr>
        <w:pStyle w:val="Paragrafoelenco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/>
          <w:bCs/>
        </w:rPr>
      </w:pPr>
      <w:r w:rsidRPr="00230D6C">
        <w:rPr>
          <w:rFonts w:ascii="Times New Roman" w:hAnsi="Times New Roman" w:cs="Times New Roman"/>
          <w:sz w:val="22"/>
          <w:szCs w:val="22"/>
        </w:rPr>
        <w:t>Per le spese</w:t>
      </w:r>
      <w:r w:rsidR="002C22F2">
        <w:rPr>
          <w:rFonts w:ascii="Times New Roman" w:hAnsi="Times New Roman" w:cs="Times New Roman"/>
          <w:sz w:val="22"/>
          <w:szCs w:val="22"/>
        </w:rPr>
        <w:t xml:space="preserve"> ammissibili</w:t>
      </w:r>
      <w:r w:rsidRPr="00230D6C">
        <w:rPr>
          <w:rFonts w:ascii="Times New Roman" w:hAnsi="Times New Roman" w:cs="Times New Roman"/>
          <w:sz w:val="22"/>
          <w:szCs w:val="22"/>
        </w:rPr>
        <w:t xml:space="preserve"> riconducibili alla scheda </w:t>
      </w:r>
      <w:r w:rsidRPr="00230D6C">
        <w:rPr>
          <w:rFonts w:ascii="Times New Roman" w:hAnsi="Times New Roman" w:cs="Times New Roman"/>
          <w:b/>
          <w:bCs/>
          <w:sz w:val="22"/>
          <w:szCs w:val="22"/>
        </w:rPr>
        <w:t xml:space="preserve">“8.2. Programmazione, consulenza informatica e attività connesse”, </w:t>
      </w:r>
      <w:r w:rsidRPr="00230D6C">
        <w:rPr>
          <w:rFonts w:ascii="Times New Roman" w:hAnsi="Times New Roman" w:cs="Times New Roman"/>
          <w:sz w:val="22"/>
          <w:szCs w:val="22"/>
        </w:rPr>
        <w:t>il principio DNSH si ritiene assolto se:</w:t>
      </w:r>
    </w:p>
    <w:p w14:paraId="3AAB70EE" w14:textId="77777777" w:rsidR="00230D6C" w:rsidRPr="00230D6C" w:rsidRDefault="00230D6C" w:rsidP="00230D6C">
      <w:pPr>
        <w:pStyle w:val="Paragrafoelenco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  <w:b/>
          <w:bCs/>
        </w:rPr>
        <w:t>in relazione all’Obiettivo 2 (Adattamento ai cambiamenti climatici):</w:t>
      </w:r>
      <w:r w:rsidRPr="00230D6C">
        <w:rPr>
          <w:rFonts w:ascii="Times New Roman" w:hAnsi="Times New Roman" w:cs="Times New Roman"/>
        </w:rPr>
        <w:t xml:space="preserve"> i rischi climatici fisici che pesano sull'attività siano identificati considerando quali possono influenzare l'andamento dell'attività economica durante il ciclo di vita previsto; se l'attività è considerata a rischio per uno o più rischi climatici fisici, sia condotta una valutazione del rischio climatico e della vulnerabilità; siano state valutate soluzioni di adattamento che possono ridurre il rischio fisico climatico individuato; la valutazione sia effettuata ricorrendo a proiezioni climatiche sulla scala appropriata più ridotta possibile; le proiezioni climatiche e la valutazione degli impatti sia stata basata sulle migliori pratiche e sugli orientamenti disponibili, tenendo conto delle più attuali conoscenze scientifiche per l'analisi della vulnerabilità e del rischio; in caso siano stati individuati importanti rischi climatici, siano state attuate, ovvero previste, "soluzioni di adattamento" (fisiche e non-fisiche) tali da ridurre in modo sostanziale i rischi; le soluzioni di adattamento attuate, ovvero previste siano coerenti con i criteri sottoelencati:</w:t>
      </w:r>
    </w:p>
    <w:p w14:paraId="5C303014" w14:textId="77777777" w:rsidR="00230D6C" w:rsidRDefault="00230D6C" w:rsidP="00230D6C">
      <w:pPr>
        <w:pStyle w:val="Paragrafoelenco"/>
        <w:numPr>
          <w:ilvl w:val="0"/>
          <w:numId w:val="13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</w:rPr>
        <w:t>non influiscono negativamente sugli sforzi di adattamento o sul livello di resilienza ai rischi climatici fisici di altre persone, della natura, del patrimonio culturale, dei beni e di altre attività economiche;</w:t>
      </w:r>
    </w:p>
    <w:p w14:paraId="2801F85E" w14:textId="77777777" w:rsidR="00230D6C" w:rsidRDefault="00230D6C" w:rsidP="00230D6C">
      <w:pPr>
        <w:pStyle w:val="Paragrafoelenco"/>
        <w:numPr>
          <w:ilvl w:val="0"/>
          <w:numId w:val="13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</w:rPr>
        <w:t>favoriscono le soluzioni basate sulla natura o si basano, per quanto possibile, su infrastrutture blu o verdi;</w:t>
      </w:r>
    </w:p>
    <w:p w14:paraId="0F459CBD" w14:textId="77777777" w:rsidR="00230D6C" w:rsidRDefault="00230D6C" w:rsidP="00230D6C">
      <w:pPr>
        <w:pStyle w:val="Paragrafoelenco"/>
        <w:numPr>
          <w:ilvl w:val="0"/>
          <w:numId w:val="13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</w:rPr>
        <w:t>sono coerenti con i piani e le strategie di adattamento locali, settoriali, regionali o nazionali;</w:t>
      </w:r>
    </w:p>
    <w:p w14:paraId="229E281D" w14:textId="77777777" w:rsidR="00230D6C" w:rsidRDefault="00230D6C" w:rsidP="00230D6C">
      <w:pPr>
        <w:pStyle w:val="Paragrafoelenco"/>
        <w:numPr>
          <w:ilvl w:val="0"/>
          <w:numId w:val="13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</w:rPr>
        <w:t>sono monitorate e misurate in base a indicatori predefiniti e, nel caso in cui tali indicatori non siano soddisfatti, vengono prese in considerazione azioni correttiv</w:t>
      </w:r>
      <w:r w:rsidRPr="00230D6C">
        <w:rPr>
          <w:rFonts w:ascii="Times New Roman" w:hAnsi="Times New Roman" w:cs="Times New Roman"/>
        </w:rPr>
        <w:t>e;</w:t>
      </w:r>
    </w:p>
    <w:p w14:paraId="64BEF0CA" w14:textId="6BB53AD0" w:rsidR="00230D6C" w:rsidRPr="00230D6C" w:rsidRDefault="00230D6C" w:rsidP="00230D6C">
      <w:pPr>
        <w:pStyle w:val="Paragrafoelenco"/>
        <w:numPr>
          <w:ilvl w:val="0"/>
          <w:numId w:val="13"/>
        </w:numPr>
        <w:ind w:left="567"/>
        <w:jc w:val="both"/>
        <w:rPr>
          <w:rFonts w:ascii="Times New Roman" w:hAnsi="Times New Roman" w:cs="Times New Roman"/>
        </w:rPr>
      </w:pPr>
      <w:r w:rsidRPr="00230D6C">
        <w:rPr>
          <w:rFonts w:ascii="Times New Roman" w:hAnsi="Times New Roman" w:cs="Times New Roman"/>
        </w:rPr>
        <w:t>laddove la soluzione attuata sia fisica e consista in un'attività per la quale sono stati specificati criteri di vaglio tecnico nel presente allegato, la soluzione è conforme ai criteri di vaglio tecnico relativi a "non arrecare danno significativo" (DNSH) per tale attività.</w:t>
      </w:r>
    </w:p>
    <w:p w14:paraId="1F727245" w14:textId="77777777" w:rsidR="00230D6C" w:rsidRPr="00230D6C" w:rsidRDefault="00230D6C" w:rsidP="00230D6C">
      <w:pPr>
        <w:jc w:val="both"/>
        <w:rPr>
          <w:rFonts w:ascii="Times New Roman" w:hAnsi="Times New Roman" w:cs="Times New Roman"/>
        </w:rPr>
      </w:pPr>
    </w:p>
    <w:sectPr w:rsidR="00230D6C" w:rsidRPr="00230D6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CCD29" w14:textId="77777777" w:rsidR="007E10D1" w:rsidRDefault="007E10D1" w:rsidP="001B5FDF">
      <w:r>
        <w:separator/>
      </w:r>
    </w:p>
  </w:endnote>
  <w:endnote w:type="continuationSeparator" w:id="0">
    <w:p w14:paraId="57E58BD9" w14:textId="77777777" w:rsidR="007E10D1" w:rsidRDefault="007E10D1" w:rsidP="001B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94B45" w14:textId="77777777" w:rsidR="007E10D1" w:rsidRDefault="007E10D1" w:rsidP="001B5FDF">
      <w:r>
        <w:separator/>
      </w:r>
    </w:p>
  </w:footnote>
  <w:footnote w:type="continuationSeparator" w:id="0">
    <w:p w14:paraId="2A23A7A9" w14:textId="77777777" w:rsidR="007E10D1" w:rsidRDefault="007E10D1" w:rsidP="001B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F8F2C" w14:textId="52DEEE6D" w:rsidR="001B5FDF" w:rsidRDefault="001B5FDF">
    <w:pPr>
      <w:pStyle w:val="Intestazione"/>
    </w:pPr>
    <w:r>
      <w:rPr>
        <w:noProof/>
      </w:rPr>
      <w:drawing>
        <wp:inline distT="0" distB="0" distL="0" distR="0" wp14:anchorId="7A67A17B" wp14:editId="3AE0886F">
          <wp:extent cx="6120765" cy="1017905"/>
          <wp:effectExtent l="0" t="0" r="0" b="0"/>
          <wp:docPr id="84523080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6EB6"/>
    <w:multiLevelType w:val="hybridMultilevel"/>
    <w:tmpl w:val="FDC64310"/>
    <w:lvl w:ilvl="0" w:tplc="23AA90D0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9524B"/>
    <w:multiLevelType w:val="hybridMultilevel"/>
    <w:tmpl w:val="ADC02FD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477E1"/>
    <w:multiLevelType w:val="hybridMultilevel"/>
    <w:tmpl w:val="DEB0A5B6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2E64E0"/>
    <w:multiLevelType w:val="hybridMultilevel"/>
    <w:tmpl w:val="6308AD6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76753"/>
    <w:multiLevelType w:val="hybridMultilevel"/>
    <w:tmpl w:val="E444AE3A"/>
    <w:lvl w:ilvl="0" w:tplc="23AA90D0">
      <w:start w:val="14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3D0610"/>
    <w:multiLevelType w:val="hybridMultilevel"/>
    <w:tmpl w:val="776CE044"/>
    <w:lvl w:ilvl="0" w:tplc="0410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EB855A3"/>
    <w:multiLevelType w:val="hybridMultilevel"/>
    <w:tmpl w:val="42D43D28"/>
    <w:lvl w:ilvl="0" w:tplc="0410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97A1912"/>
    <w:multiLevelType w:val="hybridMultilevel"/>
    <w:tmpl w:val="F78075B0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C61D1C"/>
    <w:multiLevelType w:val="hybridMultilevel"/>
    <w:tmpl w:val="04405604"/>
    <w:lvl w:ilvl="0" w:tplc="23AA90D0">
      <w:start w:val="14"/>
      <w:numFmt w:val="bullet"/>
      <w:lvlText w:val="-"/>
      <w:lvlJc w:val="left"/>
      <w:pPr>
        <w:ind w:left="1287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B022198"/>
    <w:multiLevelType w:val="hybridMultilevel"/>
    <w:tmpl w:val="1E18EACA"/>
    <w:lvl w:ilvl="0" w:tplc="23AA90D0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54C54"/>
    <w:multiLevelType w:val="hybridMultilevel"/>
    <w:tmpl w:val="94B803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D5ADD"/>
    <w:multiLevelType w:val="hybridMultilevel"/>
    <w:tmpl w:val="221026CE"/>
    <w:lvl w:ilvl="0" w:tplc="23AA90D0">
      <w:start w:val="14"/>
      <w:numFmt w:val="bullet"/>
      <w:lvlText w:val="-"/>
      <w:lvlJc w:val="left"/>
      <w:pPr>
        <w:ind w:left="1004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B8645FF"/>
    <w:multiLevelType w:val="hybridMultilevel"/>
    <w:tmpl w:val="325A18A0"/>
    <w:lvl w:ilvl="0" w:tplc="23AA90D0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443756">
    <w:abstractNumId w:val="4"/>
  </w:num>
  <w:num w:numId="2" w16cid:durableId="41713584">
    <w:abstractNumId w:val="10"/>
  </w:num>
  <w:num w:numId="3" w16cid:durableId="2090929093">
    <w:abstractNumId w:val="7"/>
  </w:num>
  <w:num w:numId="4" w16cid:durableId="637490922">
    <w:abstractNumId w:val="2"/>
  </w:num>
  <w:num w:numId="5" w16cid:durableId="1477725388">
    <w:abstractNumId w:val="12"/>
  </w:num>
  <w:num w:numId="6" w16cid:durableId="613563891">
    <w:abstractNumId w:val="8"/>
  </w:num>
  <w:num w:numId="7" w16cid:durableId="1192644251">
    <w:abstractNumId w:val="9"/>
  </w:num>
  <w:num w:numId="8" w16cid:durableId="1517384776">
    <w:abstractNumId w:val="5"/>
  </w:num>
  <w:num w:numId="9" w16cid:durableId="781413921">
    <w:abstractNumId w:val="6"/>
  </w:num>
  <w:num w:numId="10" w16cid:durableId="325473274">
    <w:abstractNumId w:val="11"/>
  </w:num>
  <w:num w:numId="11" w16cid:durableId="972054777">
    <w:abstractNumId w:val="1"/>
  </w:num>
  <w:num w:numId="12" w16cid:durableId="900675634">
    <w:abstractNumId w:val="3"/>
  </w:num>
  <w:num w:numId="13" w16cid:durableId="13072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DF"/>
    <w:rsid w:val="0003782B"/>
    <w:rsid w:val="001B5FDF"/>
    <w:rsid w:val="00230D6C"/>
    <w:rsid w:val="002C22F2"/>
    <w:rsid w:val="00324E25"/>
    <w:rsid w:val="006F099F"/>
    <w:rsid w:val="007E10D1"/>
    <w:rsid w:val="00B41535"/>
    <w:rsid w:val="00D03FF9"/>
    <w:rsid w:val="00ED1F22"/>
    <w:rsid w:val="00F5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CFB0A"/>
  <w15:chartTrackingRefBased/>
  <w15:docId w15:val="{5A689195-FD2D-422E-8DEB-FE73161F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5FDF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5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5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5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5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5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5F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5F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5F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5F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5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5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5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5FD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5FD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5F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5F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5F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5F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5F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5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5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5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5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5F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5F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5F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5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5FD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5FD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B5F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5FDF"/>
  </w:style>
  <w:style w:type="paragraph" w:styleId="Pidipagina">
    <w:name w:val="footer"/>
    <w:basedOn w:val="Normale"/>
    <w:link w:val="PidipaginaCarattere"/>
    <w:uiPriority w:val="99"/>
    <w:unhideWhenUsed/>
    <w:rsid w:val="001B5F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5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Sorbino</dc:creator>
  <cp:keywords/>
  <dc:description/>
  <cp:lastModifiedBy>Lucia Sorbino</cp:lastModifiedBy>
  <cp:revision>2</cp:revision>
  <dcterms:created xsi:type="dcterms:W3CDTF">2024-11-20T12:32:00Z</dcterms:created>
  <dcterms:modified xsi:type="dcterms:W3CDTF">2024-11-20T14:43:00Z</dcterms:modified>
</cp:coreProperties>
</file>